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B17E2" w14:textId="02D418BA" w:rsidR="00732CCD" w:rsidRPr="00987D8B" w:rsidRDefault="00732CCD" w:rsidP="00732CCD">
      <w:pPr>
        <w:pStyle w:val="NormalWeb"/>
        <w:spacing w:before="0" w:beforeAutospacing="0" w:after="0" w:afterAutospacing="0"/>
        <w:ind w:firstLine="283"/>
        <w:jc w:val="center"/>
        <w:rPr>
          <w:rFonts w:ascii="Calibri" w:eastAsia="Calibri" w:hAnsi="Calibri" w:cstheme="minorHAnsi"/>
          <w:b/>
          <w:i/>
          <w:sz w:val="20"/>
          <w:szCs w:val="20"/>
          <w:u w:val="single"/>
        </w:rPr>
      </w:pPr>
      <w:r w:rsidRPr="0078651B">
        <w:rPr>
          <w:rFonts w:ascii="Calibri" w:eastAsia="Calibri" w:hAnsi="Calibri" w:cstheme="minorHAnsi"/>
          <w:b/>
          <w:i/>
          <w:sz w:val="20"/>
          <w:szCs w:val="20"/>
          <w:u w:val="single"/>
        </w:rPr>
        <w:t>Anexo XV</w:t>
      </w:r>
      <w:r>
        <w:rPr>
          <w:rFonts w:ascii="Calibri" w:eastAsia="Calibri" w:hAnsi="Calibri" w:cstheme="minorHAnsi"/>
          <w:b/>
          <w:i/>
          <w:sz w:val="20"/>
          <w:szCs w:val="20"/>
          <w:u w:val="single"/>
        </w:rPr>
        <w:t>I</w:t>
      </w:r>
      <w:r w:rsidRPr="0078651B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 do Termo de Referência – </w:t>
      </w:r>
      <w:r w:rsidRPr="00732CCD">
        <w:rPr>
          <w:rFonts w:ascii="Calibri" w:eastAsia="Calibri" w:hAnsi="Calibri" w:cstheme="minorHAnsi"/>
          <w:b/>
          <w:i/>
          <w:sz w:val="20"/>
          <w:szCs w:val="20"/>
          <w:u w:val="single"/>
        </w:rPr>
        <w:t>ROTEIRO DE CODIFICAÇÃO DA ANEEL– VERSÃO 1.0</w:t>
      </w:r>
    </w:p>
    <w:p w14:paraId="52893F77" w14:textId="77777777" w:rsidR="004C02B4" w:rsidRDefault="004C02B4">
      <w:pPr>
        <w:spacing w:line="360" w:lineRule="auto"/>
        <w:jc w:val="center"/>
        <w:rPr>
          <w:rFonts w:ascii="Arial" w:eastAsia="Times New Roman" w:hAnsi="Arial" w:cs="Arial"/>
          <w:b/>
          <w:bCs/>
          <w:caps/>
          <w:color w:val="000000"/>
        </w:rPr>
      </w:pPr>
    </w:p>
    <w:p w14:paraId="71C899EC" w14:textId="0FCA8165" w:rsidR="006976EE" w:rsidRDefault="0073752F">
      <w:pPr>
        <w:spacing w:line="360" w:lineRule="auto"/>
        <w:jc w:val="center"/>
      </w:pPr>
      <w:r>
        <w:rPr>
          <w:rFonts w:ascii="Arial" w:eastAsia="Times New Roman" w:hAnsi="Arial" w:cs="Arial"/>
          <w:b/>
          <w:bCs/>
          <w:caps/>
          <w:color w:val="000000"/>
        </w:rPr>
        <w:t xml:space="preserve">ROTEIRO DE CODIFICAÇÃO </w:t>
      </w:r>
      <w:r w:rsidR="000C6EB0">
        <w:rPr>
          <w:rFonts w:ascii="Arial" w:eastAsia="Times New Roman" w:hAnsi="Arial" w:cs="Arial"/>
          <w:b/>
          <w:bCs/>
          <w:caps/>
          <w:color w:val="000000"/>
        </w:rPr>
        <w:t>DA ANEEL</w:t>
      </w:r>
      <w:r>
        <w:rPr>
          <w:rFonts w:ascii="Arial" w:eastAsia="Times New Roman" w:hAnsi="Arial" w:cs="Arial"/>
          <w:b/>
          <w:bCs/>
          <w:caps/>
          <w:color w:val="000000"/>
        </w:rPr>
        <w:t>– versão 1.0</w:t>
      </w:r>
    </w:p>
    <w:p w14:paraId="10B48218" w14:textId="77777777" w:rsidR="006976EE" w:rsidRDefault="006976EE">
      <w:pPr>
        <w:spacing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7EF8FA2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1. INTRODUÇÃO</w:t>
      </w:r>
    </w:p>
    <w:p w14:paraId="3C662D8B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1.1 O presente Roteiro dispõe sobre as melhores práticas de codificação com vistas a assegurar uma codificação enxuta, limpa, clara e eficiente, observando as diretrizes de codificação segura publicadas pela Secretaria de Governo Digital.</w:t>
      </w:r>
    </w:p>
    <w:p w14:paraId="36EDF25B" w14:textId="77777777" w:rsidR="006976EE" w:rsidRDefault="006976EE">
      <w:pPr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61776420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2. DIRETRIZES GERAIS </w:t>
      </w:r>
    </w:p>
    <w:p w14:paraId="3C48FC03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2.1 Além das d</w:t>
      </w:r>
      <w:r>
        <w:rPr>
          <w:rFonts w:ascii="Arial" w:eastAsia="Times New Roman" w:hAnsi="Arial" w:cs="Arial"/>
          <w:sz w:val="20"/>
          <w:szCs w:val="20"/>
        </w:rPr>
        <w:t>iretrizes constantes deste Roteiro, deve-se adotar no que couber as orientações constantes dos:</w:t>
      </w:r>
    </w:p>
    <w:p w14:paraId="56F8D781" w14:textId="77777777" w:rsidR="006976EE" w:rsidRDefault="0073752F">
      <w:pPr>
        <w:pStyle w:val="PargrafodaLista"/>
        <w:spacing w:after="0" w:line="360" w:lineRule="auto"/>
      </w:pPr>
      <w:r>
        <w:rPr>
          <w:rFonts w:ascii="Arial" w:hAnsi="Arial" w:cs="Arial"/>
          <w:sz w:val="20"/>
          <w:szCs w:val="20"/>
        </w:rPr>
        <w:t>a. Guia de Requisitos e Obrigações quanto a Privacidade e à Segurança da Informação, disponível em:</w:t>
      </w:r>
      <w:r>
        <w:rPr>
          <w:rFonts w:ascii="Arial" w:hAnsi="Arial" w:cs="Arial"/>
          <w:sz w:val="20"/>
          <w:szCs w:val="20"/>
        </w:rPr>
        <w:br/>
        <w:t>https://www.gov.br/governodigital/pt-br/privacidade-e-seguranca/ppsi/guia_requisitos_obrigacoes.pdf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b. Guia de Requisitos Mínimos de Privacidade e Segurança da Informação para Aplicações Web, disponível em:</w:t>
      </w:r>
      <w:r>
        <w:rPr>
          <w:rFonts w:ascii="Arial" w:hAnsi="Arial" w:cs="Arial"/>
          <w:sz w:val="20"/>
          <w:szCs w:val="20"/>
        </w:rPr>
        <w:br/>
        <w:t>https://www.gov.br/governodigital/pt-br/privacidade-e-seguranca/ppsi/guia_requisitos_minimos_web.pdf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c. Guia de Requisitos Mínimos de Privacidade e Segurança da Informação para APIs, disponível em:</w:t>
      </w:r>
      <w:r>
        <w:rPr>
          <w:rFonts w:ascii="Arial" w:hAnsi="Arial" w:cs="Arial"/>
          <w:sz w:val="20"/>
          <w:szCs w:val="20"/>
        </w:rPr>
        <w:br/>
        <w:t>https://www.gov.br/governodigital/pt-br/privacidade-e-seguranca/ppsi/guia_requisitos_minimos_apis.pdf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d. Guia de Requisitos Mínimos de Privacidade e Segurança da Informação para Aplicativos Móveis, disponível em:</w:t>
      </w:r>
      <w:r>
        <w:rPr>
          <w:rFonts w:ascii="Arial" w:hAnsi="Arial" w:cs="Arial"/>
          <w:sz w:val="20"/>
          <w:szCs w:val="20"/>
        </w:rPr>
        <w:br/>
        <w:t>https://www.gov.br/governodigital/pt-br/privacidade-e-seguranca/ppsi/guia_requisitos_minimos_apps.pdf</w:t>
      </w:r>
    </w:p>
    <w:p w14:paraId="23705698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27B6B9D2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3. ESCRITA DE CÓDIGO</w:t>
      </w:r>
    </w:p>
    <w:p w14:paraId="28037466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lastRenderedPageBreak/>
        <w:t>3.1 Nomes Significativos</w:t>
      </w:r>
    </w:p>
    <w:p w14:paraId="27952EFE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3.1.1 Os nomes utilizados para variáveis, funções, classes e métodos devem ser autoexplicativos,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</w:rPr>
        <w:t>ou seja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</w:rPr>
        <w:t xml:space="preserve"> deve responder as seguintes perguntas: "Por que ele existe?", "o que ele faz?" e "como é usado?".</w:t>
      </w:r>
    </w:p>
    <w:p w14:paraId="21389A1F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3.1.2 Não se deve incluir no código informações inverídicas ou falas para mascarar o código ou dificultar sua manutenção.</w:t>
      </w:r>
    </w:p>
    <w:p w14:paraId="137D548E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3.1.3 Os nomes devem ser pronunciáveis e ter significado adequado ao contexto em língua portuguesa.</w:t>
      </w:r>
    </w:p>
    <w:p w14:paraId="4A219564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3.1.4 Evite codificações ou encriptações em nomes de variáveis, classes, funções e métodos.</w:t>
      </w:r>
    </w:p>
    <w:p w14:paraId="056CF3F3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3.1.5 Os nomes devem ser de fácil entendimento associado ao contexto do domínio do negócio.</w:t>
      </w:r>
    </w:p>
    <w:p w14:paraId="3FD763DB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451E9356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3.2 Funções e Classes</w:t>
      </w:r>
    </w:p>
    <w:p w14:paraId="41072EB9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3.2.1 As funções e classes devem ter o mínimo de linhas possível, mantendo-se a clareza e implementando o código necessário para traduzir o objetivo esperado da função ou da classe.</w:t>
      </w:r>
    </w:p>
    <w:p w14:paraId="4B9838F0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3.2.2 As funções e classes devem ter objetivos específicos possuindo um nível de abstração (deve ter apenas uma responsabilidade ou objetivo, ou seja, deve fazer coisa).</w:t>
      </w:r>
    </w:p>
    <w:p w14:paraId="29CD1ED7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3.2.3 A escrita do código deve seguir uma narrativa top-</w:t>
      </w:r>
      <w:bookmarkStart w:id="0" w:name="_Int_1cPo0Hgy"/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down</w:t>
      </w:r>
      <w:bookmarkEnd w:id="0"/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3D24D4CE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3.2.4 As funções e classes não devem possuir efeitos escondidos ou colaterais, ou seja, não devem produzir efeitos distintos daqueles que se propõe a realizar.</w:t>
      </w:r>
    </w:p>
    <w:p w14:paraId="4904AD3D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3.2.5 Deve-se evitar níveis de herança exagerados, superior a 4 (quatro). </w:t>
      </w:r>
    </w:p>
    <w:p w14:paraId="5376E529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1342343B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3.3 Comentários</w:t>
      </w:r>
    </w:p>
    <w:p w14:paraId="6DDA8935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3.3.1 O código útil deve ser autoexplicativo, limpo e eficiente, devendo possuir apenas os mínimos de comentário possível.</w:t>
      </w:r>
    </w:p>
    <w:p w14:paraId="73CEA4EC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3.3.2 Evite comentários redundantes ou óbvios, que descrevem o que o código faz sem acrescentar nenhuma informação útil.</w:t>
      </w:r>
    </w:p>
    <w:p w14:paraId="5999D683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7DC74544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3.4 Estruturas</w:t>
      </w:r>
    </w:p>
    <w:p w14:paraId="60B92E33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3.4.1 Não se deve criar estruturas de código redundantes ou sem efetiva geração de valor à finalidade pretendida.</w:t>
      </w:r>
    </w:p>
    <w:p w14:paraId="3B2E34F7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3.4.2 Não se deve replicar linhas de códigos ou estruturas tornando-as redundantes.</w:t>
      </w:r>
    </w:p>
    <w:p w14:paraId="76B2CAC8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3.4.3 Deve-se evitar duplicar ou replicar funções ou classes que possuam a mesma responsabilidade ou objetivo.</w:t>
      </w:r>
    </w:p>
    <w:p w14:paraId="441A5FCE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42DA3322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3.5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Identação</w:t>
      </w:r>
      <w:proofErr w:type="spellEnd"/>
    </w:p>
    <w:p w14:paraId="47E87C43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3.5.1 Deve-se adotar a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identação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adequada para melhor entendimento e clareza do código, evitando-se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identações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exageradas ou nenhuma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identação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3CF3F92C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76AAD6DC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3.6 Complexidade ciclomática</w:t>
      </w:r>
    </w:p>
    <w:p w14:paraId="1301B9E0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3.6.1. Deve-se adotar a menor complexidade ciclomática possível por algoritmo.</w:t>
      </w:r>
    </w:p>
    <w:p w14:paraId="444474E8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3.6.2 Deve-se evitar o aninhamento excessivo de instruções de condições (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If's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dentro de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If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>''s).</w:t>
      </w:r>
    </w:p>
    <w:p w14:paraId="1145BA68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3.6.3 Deve-se evitar o exagero de condições ("Case") dentro de instruções de escolha ("switch")</w:t>
      </w:r>
    </w:p>
    <w:p w14:paraId="3B0CDE41" w14:textId="77777777" w:rsidR="006976EE" w:rsidRDefault="0073752F">
      <w:pPr>
        <w:spacing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3.6.4 Deve-se remover construções desnecessárias, ou seja, aquelas que podem ser removidas sem alterar a semântica e a finalidade do código. </w:t>
      </w:r>
    </w:p>
    <w:p w14:paraId="77B73F79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3.6.5 A complexidade ciclomática do código deve ser igual ou inferior a 10, salvo se aprovado pela contratante. </w:t>
      </w:r>
    </w:p>
    <w:p w14:paraId="4C0AF952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5C0B9C13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4. DIRETRIZES DE SEGURANÇA DA INFORMAÇÃO</w:t>
      </w:r>
    </w:p>
    <w:p w14:paraId="446F6436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4.1 Armazenamento de dados</w:t>
      </w:r>
    </w:p>
    <w:p w14:paraId="00644742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4.1.1 Nos casos de armazenamento de dados abertos (Dados públicos), não se deve utilizar meio de armazenamento que não possua acesso para escrita restrito por senha.</w:t>
      </w:r>
    </w:p>
    <w:p w14:paraId="220E6813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4.1.2 Nos casos de armazenamento de dados fechados (Dados cujo acesso é restrito a um grupo específico de pessoas), não se deve utilizar meio de armazenamento que não possua acesso para leitura e escrita restrito por senha.</w:t>
      </w:r>
    </w:p>
    <w:p w14:paraId="1DBB641E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4.1.3 Não se deve disponibilizar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</w:rPr>
        <w:t>à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</w:rPr>
        <w:t xml:space="preserve"> aplicações acesso à algum banco de dados utilizando login de usuário com permissões de root.</w:t>
      </w:r>
    </w:p>
    <w:p w14:paraId="38FC9224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4.1.4 Não se deve utilizar o armazenamento de senhas em código-fonte.</w:t>
      </w:r>
    </w:p>
    <w:p w14:paraId="4C7F2E3E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4.1.5 Não se deve utilizar as mesmas senhas para ambientes de desenvolvimento ou homologação e produção</w:t>
      </w:r>
    </w:p>
    <w:p w14:paraId="461DDF15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4.1.6 Deve-se armazenar de forma segura os dados de usuários e os sistemas que utilizam cada senha fornecida.</w:t>
      </w:r>
    </w:p>
    <w:p w14:paraId="03040B50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64F06E8A" w14:textId="77777777" w:rsidR="000C6EB0" w:rsidRDefault="000C6EB0">
      <w:pPr>
        <w:suppressAutoHyphens w:val="0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br w:type="page"/>
      </w:r>
    </w:p>
    <w:p w14:paraId="4D32B801" w14:textId="72132E9F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4.2 Gerenciamento de Acessos e Permissões de Usuários</w:t>
      </w:r>
    </w:p>
    <w:p w14:paraId="2DC9E432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4.2.1 Não se deve armazenar senhas em texto plano sem utilizar um algoritmo de </w:t>
      </w:r>
      <w:bookmarkStart w:id="1" w:name="_Int_M5azdQfy"/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hash</w:t>
      </w:r>
      <w:bookmarkEnd w:id="1"/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seguro e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salt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354416E0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4.2.2 Deve-se utilizar controle de usuário e senha nominais para determinar a identidade do usuário.</w:t>
      </w:r>
    </w:p>
    <w:p w14:paraId="102E5882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4.2.3 Deve-se utilizar HTTPS para controle de autenticação ao menos nas telas de login do sistema web.</w:t>
      </w:r>
    </w:p>
    <w:p w14:paraId="5D06317E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51A58670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4.3 Comunicação </w:t>
      </w:r>
    </w:p>
    <w:p w14:paraId="56236475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4.3.1 Deve-se empregar canal de comunicação com controle de duplicação e perda de informações/mensagens.</w:t>
      </w:r>
    </w:p>
    <w:p w14:paraId="26D1BA51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4.3.2 Deve-se empregar canal de comunicação com controle de autenticação (</w:t>
      </w:r>
      <w:bookmarkStart w:id="2" w:name="_Int_9rduSTTw"/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eg</w:t>
      </w:r>
      <w:bookmarkEnd w:id="2"/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, HTTPS, certificados digitais gerados por autoridades confiáveis,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VPNs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14:paraId="56E578C9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4.3.3 Deve-se empregar canal de comunicação que provenha confidencialidade dos dados transmitidos (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eg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, HTTPS,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VPNs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14:paraId="3C579C2C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080F2612" w14:textId="77777777" w:rsidR="006976EE" w:rsidRDefault="0073752F">
      <w:pPr>
        <w:spacing w:line="36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4.4 Medidas contra-ataques</w:t>
      </w:r>
    </w:p>
    <w:p w14:paraId="48342B19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4.4.1 Deve-se prevenir ataques de injeção de SQL (SQL </w:t>
      </w:r>
      <w:bookmarkStart w:id="3" w:name="_Int_iRa0dNyF"/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Injection</w:t>
      </w:r>
      <w:bookmarkEnd w:id="3"/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>), a exemplo das seguintes medidas mínimas:</w:t>
      </w:r>
    </w:p>
    <w:p w14:paraId="14663E85" w14:textId="77777777" w:rsidR="006976EE" w:rsidRDefault="0073752F">
      <w:pPr>
        <w:spacing w:line="360" w:lineRule="auto"/>
        <w:ind w:left="708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a) Não se deve criar </w:t>
      </w:r>
      <w:bookmarkStart w:id="4" w:name="_Int_1rYstxOQ"/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SQLs</w:t>
      </w:r>
      <w:bookmarkEnd w:id="4"/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concatenando parâmetros textuais de origem não-segura, como parâmetros preenchidos pelo usuário ou mesmo armazenados no banco de dados.</w:t>
      </w:r>
    </w:p>
    <w:p w14:paraId="31791F07" w14:textId="77777777" w:rsidR="006976EE" w:rsidRDefault="0073752F">
      <w:pPr>
        <w:spacing w:line="360" w:lineRule="auto"/>
        <w:ind w:left="708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b) Deve-se restringir permissões de acesso ao banco de dados para o usuário da aplicação.</w:t>
      </w:r>
    </w:p>
    <w:p w14:paraId="0EA8178D" w14:textId="77777777" w:rsidR="006976EE" w:rsidRDefault="0073752F">
      <w:pPr>
        <w:spacing w:line="360" w:lineRule="auto"/>
        <w:ind w:left="708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c) Deve-se, sempre que possível, passar parâmetros em comandos SQL (DML ou DDL) utilizando </w:t>
      </w:r>
      <w:bookmarkStart w:id="5" w:name="_Int_DirF0l7X"/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prepared</w:t>
      </w:r>
      <w:bookmarkEnd w:id="5"/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statements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619C450D" w14:textId="77777777" w:rsidR="006976EE" w:rsidRDefault="0073752F">
      <w:pPr>
        <w:spacing w:line="360" w:lineRule="auto"/>
        <w:ind w:left="708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d) Consultas que não podem ser parametrizadas deverão receber tratamento especial, como escapes ou codificação em hexadecimal.</w:t>
      </w:r>
    </w:p>
    <w:p w14:paraId="4311F2D7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4.4.2 Deve-se prevenir ataques de injeção de HTML e Javascript.</w:t>
      </w:r>
    </w:p>
    <w:p w14:paraId="229E0A42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4.4.3 Deve-se prevenir ataques do tipo </w:t>
      </w:r>
      <w:bookmarkStart w:id="6" w:name="_Int_HiPpeWCT"/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cross</w:t>
      </w:r>
      <w:bookmarkEnd w:id="6"/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-site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scripting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(XSS).</w:t>
      </w:r>
    </w:p>
    <w:p w14:paraId="23FC4BE3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4.4.4 Deve-se prevenir ataques de quebra de autenticação e gerenciamento de sessão (Broken </w:t>
      </w:r>
      <w:bookmarkStart w:id="7" w:name="_Int_OJTTB9WY"/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Authentication</w:t>
      </w:r>
      <w:bookmarkEnd w:id="7"/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and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bookmarkStart w:id="8" w:name="_Int_RVC0gedi"/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Session</w:t>
      </w:r>
      <w:bookmarkEnd w:id="8"/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Management).</w:t>
      </w:r>
    </w:p>
    <w:p w14:paraId="20F80900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667E0E0E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4.5 Auditoria, rastreamento e Logs</w:t>
      </w:r>
    </w:p>
    <w:p w14:paraId="462CB6B2" w14:textId="344E18A2" w:rsidR="000C6EB0" w:rsidRDefault="000C6EB0">
      <w:pPr>
        <w:spacing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Sistemas desenvolvidos em .NET devem estar integrados ao S3A – Sistema de Autenticação, Autorização e Auditoria.</w:t>
      </w:r>
    </w:p>
    <w:p w14:paraId="6145408B" w14:textId="2D26A054" w:rsidR="006976EE" w:rsidRDefault="006976EE">
      <w:pPr>
        <w:spacing w:line="360" w:lineRule="auto"/>
        <w:jc w:val="both"/>
      </w:pPr>
    </w:p>
    <w:p w14:paraId="38CA0530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4.7 Testes</w:t>
      </w:r>
    </w:p>
    <w:p w14:paraId="3935E378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4.7.1 Deve-se realizar testes manuais de segurança antes de cada versão do software que modifique sua estrutura (telas de login, serviços não autenticados, novos formulários com interação com o usuário, etc.).</w:t>
      </w:r>
    </w:p>
    <w:p w14:paraId="6364550C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4.7.2 Deve-se garantir, através de testes automatizados, que os serviços e dados sigilosos estão protegidos e disponíveis apenas para os usuários detentores das informações.</w:t>
      </w:r>
    </w:p>
    <w:p w14:paraId="27751474" w14:textId="13DA1645" w:rsidR="006976EE" w:rsidRDefault="0073752F">
      <w:pPr>
        <w:spacing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4.7.4 Deve-se definir cenários de testes voltados à garantia dos requisitos não funcionais do software, preferencialmente realizado por uma equipe de testes diferente da equipe de desenvolvimento do software, com intuito de se evitar vícios.</w:t>
      </w:r>
    </w:p>
    <w:p w14:paraId="05EEB8FD" w14:textId="60D469E6" w:rsidR="006976EE" w:rsidRDefault="006976EE">
      <w:pPr>
        <w:spacing w:line="360" w:lineRule="auto"/>
        <w:jc w:val="both"/>
      </w:pPr>
    </w:p>
    <w:p w14:paraId="323B698C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4.9 Diretrizes para a instalação, configuração e gerenciamento de ambientes de desenvolvimento de sistemas</w:t>
      </w:r>
    </w:p>
    <w:p w14:paraId="2C4CFD12" w14:textId="01116756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4.9.1 Deve-se utilizar </w:t>
      </w:r>
      <w:r w:rsidR="000C6EB0">
        <w:rPr>
          <w:rFonts w:ascii="Arial" w:eastAsia="Times New Roman" w:hAnsi="Arial" w:cs="Arial"/>
          <w:color w:val="000000"/>
          <w:sz w:val="20"/>
          <w:szCs w:val="20"/>
        </w:rPr>
        <w:t xml:space="preserve">a ferramenta de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controle de versão </w:t>
      </w:r>
      <w:r w:rsidR="000C6EB0">
        <w:rPr>
          <w:rFonts w:ascii="Arial" w:eastAsia="Times New Roman" w:hAnsi="Arial" w:cs="Arial"/>
          <w:color w:val="000000"/>
          <w:sz w:val="20"/>
          <w:szCs w:val="20"/>
        </w:rPr>
        <w:t>padrão da Agência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209573E2" w14:textId="6692E762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4.9.2 Deve-se utilizar bancos de dados distintos para cada ambiente (Desenvolvimento</w:t>
      </w:r>
      <w:r w:rsidR="000C6EB0">
        <w:rPr>
          <w:rFonts w:ascii="Arial" w:eastAsia="Times New Roman" w:hAnsi="Arial" w:cs="Arial"/>
          <w:color w:val="000000"/>
          <w:sz w:val="20"/>
          <w:szCs w:val="20"/>
        </w:rPr>
        <w:t>, homologação</w:t>
      </w:r>
      <w:r>
        <w:rPr>
          <w:rFonts w:ascii="Arial" w:eastAsia="Times New Roman" w:hAnsi="Arial" w:cs="Arial"/>
          <w:color w:val="000000"/>
          <w:sz w:val="20"/>
          <w:szCs w:val="20"/>
        </w:rPr>
        <w:t>, produção).</w:t>
      </w:r>
    </w:p>
    <w:p w14:paraId="208B5E80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4.9.3 Deve-se utilizar servidores de aplicação/web distintos para cada ambiente (Desenvolvimento, produção).</w:t>
      </w:r>
    </w:p>
    <w:p w14:paraId="4CA25682" w14:textId="2CC388F9" w:rsidR="006976EE" w:rsidRDefault="006976EE">
      <w:pPr>
        <w:spacing w:line="360" w:lineRule="auto"/>
        <w:jc w:val="both"/>
      </w:pPr>
    </w:p>
    <w:p w14:paraId="0ADDA1AE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4.10 Diretrizes para a configuração de proteção a dados sensíveis</w:t>
      </w:r>
    </w:p>
    <w:p w14:paraId="73904BA0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4.10.1 Deve-se utilizar um método criptográfico que siga o princípio de </w:t>
      </w:r>
      <w:bookmarkStart w:id="9" w:name="_Int_Rk9Krjm9"/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Kerckhoffs</w:t>
      </w:r>
      <w:bookmarkEnd w:id="9"/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>; o método de encriptação e seus parâmetros devem ser públicos e estar documentados, somente a chave criptográfica deve ser mantida em sigilo.</w:t>
      </w:r>
    </w:p>
    <w:p w14:paraId="01B23AE8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4.10.2 Não se deve utilizar um cifrador que admita um método conhecido para quebra da chave criptográfica melhor do que a força bruta, baseada em tentativa e erro.</w:t>
      </w:r>
    </w:p>
    <w:p w14:paraId="2D8A7A79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4.10.3 Não se deve utilizar o modo de cifrador de bloco </w:t>
      </w:r>
      <w:bookmarkStart w:id="10" w:name="_Int_29YCiAB5"/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electronic</w:t>
      </w:r>
      <w:bookmarkEnd w:id="10"/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codebook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(ECB) ou modos menos seguros.</w:t>
      </w:r>
    </w:p>
    <w:p w14:paraId="34894389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4.10.4 Não se deve utilizar um tamanho da chave menor que 128 bits (cifrador simétrico) ou 1024 bits (cifrador assimétrico).</w:t>
      </w:r>
    </w:p>
    <w:p w14:paraId="10F0A581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4.10.5 Não se deve utilizar função de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hash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sem algum tipo de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salt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7B0A0B52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4.10.6 Não se deve utilizar algoritmos considerados obsoletos para criptografia e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hash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criptográfico. Exemplos: MD5, SHA1, DES/3DES, RC2, RC4, MD4.</w:t>
      </w:r>
    </w:p>
    <w:p w14:paraId="4B61313D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4.10.7 Não se deve utilizar um tamanho da chave menor que 192 bits (cifrador simétrico) ou 2048 bits (cifrador assimétrico).</w:t>
      </w:r>
    </w:p>
    <w:p w14:paraId="6AAAD317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4.10.8 Não se deve distribuir chaves criptográficas sem a utilização de uma infraestrutura de chave pública e, portanto, sem a utilização de um cifrador assimétrico.</w:t>
      </w:r>
    </w:p>
    <w:p w14:paraId="367102B5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28819C11" w14:textId="3BAB5AAD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4.11 Geração de Senhas</w:t>
      </w:r>
      <w:r w:rsidR="007D56F7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(Usuários externos)</w:t>
      </w:r>
    </w:p>
    <w:p w14:paraId="0F4D0881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4.11.1 Não se deve utilizar senhas com menos de 8 caracteres.</w:t>
      </w:r>
    </w:p>
    <w:p w14:paraId="194BE58D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4.11.2 Não se deve utilizar somente um tipo de caractere (letras, dígitos e símbolos).</w:t>
      </w:r>
    </w:p>
    <w:p w14:paraId="0FB21DE7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4.11.3 Não se deve utilizar palavras comumente utilizadas para senhas (ou variantes destas), como, por exemplo:  nome do animal de estimação, membro da família ou pessoa significativa; datas de aniversário; nome do feriado favorito; algo relacionado ao time esportivo favorito; e as palavras “senha” e “</w:t>
      </w:r>
      <w:bookmarkStart w:id="11" w:name="_Int_hiycc3v2"/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password</w:t>
      </w:r>
      <w:bookmarkEnd w:id="11"/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>”.</w:t>
      </w:r>
    </w:p>
    <w:p w14:paraId="3F31EBED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4.11.4 Não se deve utilizar periodicidade de troca superior a 1 ano.</w:t>
      </w:r>
    </w:p>
    <w:p w14:paraId="7934C819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4.11.5 Não se deve armazenar senhas em claro.</w:t>
      </w:r>
    </w:p>
    <w:p w14:paraId="78ED6196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4.11.6 Deve-se armazenar ao menos o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hash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criptográfico com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salt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45C5B718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4.11.7 Não se deve usar um canal em claro para a transmissão da senha ou elemento correspondente.</w:t>
      </w:r>
    </w:p>
    <w:p w14:paraId="4D0DFA72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4.11.8 Não se deve utilizar método de conferência menos seguro que desafios baseados em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hash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ou o uso de </w:t>
      </w:r>
      <w:bookmarkStart w:id="12" w:name="_Int_su89MOI2"/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hashes</w:t>
      </w:r>
      <w:bookmarkEnd w:id="12"/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armazenados.</w:t>
      </w:r>
    </w:p>
    <w:p w14:paraId="2C4DC261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4.11.9 Não se deve permitir uma taxa de tentativas de validação de senha superior a 5 tentativas por minuto.</w:t>
      </w:r>
    </w:p>
    <w:p w14:paraId="3E26CA58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4.11.10 Não se deve mostrar diretamente a senha quando esta necessita ser digitada pelo usuário; deve haver opção de habilitar e desabilitar a visualização da senha digitada até então.</w:t>
      </w:r>
    </w:p>
    <w:p w14:paraId="712D7A44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3A606C53" w14:textId="77777777" w:rsidR="007D56F7" w:rsidRDefault="007D56F7">
      <w:pPr>
        <w:spacing w:line="36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78B87CE8" w14:textId="37C2771D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4.12 Diretrizes para reforço da segurança de software nas fases de especificação, projeto e design</w:t>
      </w:r>
    </w:p>
    <w:p w14:paraId="1B475ED3" w14:textId="5B9C39FD" w:rsidR="006976EE" w:rsidRDefault="0073752F" w:rsidP="007D56F7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4.12.1 Deve-se </w:t>
      </w:r>
      <w:r w:rsidR="007D56F7">
        <w:rPr>
          <w:rFonts w:ascii="Arial" w:eastAsia="Times New Roman" w:hAnsi="Arial" w:cs="Arial"/>
          <w:color w:val="000000"/>
          <w:sz w:val="20"/>
          <w:szCs w:val="20"/>
        </w:rPr>
        <w:t>seguir as diretrizes da Instrução Administrativa para Desenvolvimento de Software Seguro da ANEEL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1C0D7BBA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4C505574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4.13 Atualização de softwares</w:t>
      </w:r>
    </w:p>
    <w:p w14:paraId="40EB1689" w14:textId="77777777" w:rsidR="006976EE" w:rsidRDefault="0073752F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4.13.1 Não se deve habilitar as atualizações automáticas de software ou componentes utilizados na construção de um sistema, sob pena de introdução indevida de falhas de segurança.</w:t>
      </w:r>
    </w:p>
    <w:p w14:paraId="15CC65FB" w14:textId="77777777" w:rsidR="006976EE" w:rsidRDefault="0073752F">
      <w:r>
        <w:rPr>
          <w:rFonts w:ascii="Arial" w:eastAsia="Times New Roman" w:hAnsi="Arial" w:cs="Arial"/>
          <w:color w:val="000000"/>
          <w:sz w:val="20"/>
          <w:szCs w:val="20"/>
        </w:rPr>
        <w:t>4.13.2 Somente utilize código de terceiros que sejam confiáveis.</w:t>
      </w:r>
    </w:p>
    <w:sectPr w:rsidR="006976EE" w:rsidSect="004C02B4">
      <w:headerReference w:type="default" r:id="rId10"/>
      <w:pgSz w:w="11906" w:h="16838"/>
      <w:pgMar w:top="2410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8623F" w14:textId="77777777" w:rsidR="00553534" w:rsidRDefault="00553534">
      <w:pPr>
        <w:spacing w:after="0" w:line="240" w:lineRule="auto"/>
      </w:pPr>
      <w:r>
        <w:separator/>
      </w:r>
    </w:p>
  </w:endnote>
  <w:endnote w:type="continuationSeparator" w:id="0">
    <w:p w14:paraId="71818849" w14:textId="77777777" w:rsidR="00553534" w:rsidRDefault="00553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15A46" w14:textId="77777777" w:rsidR="00553534" w:rsidRDefault="0055353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FF36363" w14:textId="77777777" w:rsidR="00553534" w:rsidRDefault="00553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78DDC" w14:textId="47E314F8" w:rsidR="004C02B4" w:rsidRDefault="004C02B4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DA83A98" wp14:editId="69DCC484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3324225" cy="952500"/>
          <wp:effectExtent l="0" t="0" r="0" b="0"/>
          <wp:wrapNone/>
          <wp:docPr id="656204877" name="Imagem 1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C4964"/>
    <w:multiLevelType w:val="multilevel"/>
    <w:tmpl w:val="8A1CBB62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554F78B0"/>
    <w:multiLevelType w:val="multilevel"/>
    <w:tmpl w:val="B510D2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61010005">
    <w:abstractNumId w:val="1"/>
  </w:num>
  <w:num w:numId="2" w16cid:durableId="1858762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6EE"/>
    <w:rsid w:val="000C6EB0"/>
    <w:rsid w:val="00206BB7"/>
    <w:rsid w:val="004C02B4"/>
    <w:rsid w:val="004F7905"/>
    <w:rsid w:val="00553534"/>
    <w:rsid w:val="006976EE"/>
    <w:rsid w:val="00732CCD"/>
    <w:rsid w:val="0073752F"/>
    <w:rsid w:val="00772D66"/>
    <w:rsid w:val="007D56F7"/>
    <w:rsid w:val="008F3279"/>
    <w:rsid w:val="00BB0634"/>
    <w:rsid w:val="00D63B64"/>
    <w:rsid w:val="00DE0D4A"/>
    <w:rsid w:val="00EB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CB8DF"/>
  <w15:docId w15:val="{D41B9A16-971A-4F0C-B88E-C72B9F444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t-BR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Ttulo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Ttulo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Ttulo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tulo2Char">
    <w:name w:val="Título 2 Char"/>
    <w:basedOn w:val="Fontepargpadro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tulo3Char">
    <w:name w:val="Título 3 Char"/>
    <w:basedOn w:val="Fontepargpadro"/>
    <w:rPr>
      <w:rFonts w:eastAsia="Times New Roman" w:cs="Times New Roman"/>
      <w:color w:val="0F4761"/>
      <w:sz w:val="28"/>
      <w:szCs w:val="28"/>
    </w:rPr>
  </w:style>
  <w:style w:type="character" w:customStyle="1" w:styleId="Ttulo4Char">
    <w:name w:val="Título 4 Char"/>
    <w:basedOn w:val="Fontepargpadro"/>
    <w:rPr>
      <w:rFonts w:eastAsia="Times New Roman" w:cs="Times New Roman"/>
      <w:i/>
      <w:iCs/>
      <w:color w:val="0F4761"/>
    </w:rPr>
  </w:style>
  <w:style w:type="character" w:customStyle="1" w:styleId="Ttulo5Char">
    <w:name w:val="Título 5 Char"/>
    <w:basedOn w:val="Fontepargpadro"/>
    <w:rPr>
      <w:rFonts w:eastAsia="Times New Roman" w:cs="Times New Roman"/>
      <w:color w:val="0F4761"/>
    </w:rPr>
  </w:style>
  <w:style w:type="character" w:customStyle="1" w:styleId="Ttulo6Char">
    <w:name w:val="Título 6 Char"/>
    <w:basedOn w:val="Fontepargpadro"/>
    <w:rPr>
      <w:rFonts w:eastAsia="Times New Roman" w:cs="Times New Roman"/>
      <w:i/>
      <w:iCs/>
      <w:color w:val="595959"/>
    </w:rPr>
  </w:style>
  <w:style w:type="character" w:customStyle="1" w:styleId="Ttulo7Char">
    <w:name w:val="Título 7 Char"/>
    <w:basedOn w:val="Fontepargpadro"/>
    <w:rPr>
      <w:rFonts w:eastAsia="Times New Roman" w:cs="Times New Roman"/>
      <w:color w:val="595959"/>
    </w:rPr>
  </w:style>
  <w:style w:type="character" w:customStyle="1" w:styleId="Ttulo8Char">
    <w:name w:val="Título 8 Char"/>
    <w:basedOn w:val="Fontepargpadro"/>
    <w:rPr>
      <w:rFonts w:eastAsia="Times New Roman" w:cs="Times New Roman"/>
      <w:i/>
      <w:iCs/>
      <w:color w:val="272727"/>
    </w:rPr>
  </w:style>
  <w:style w:type="character" w:customStyle="1" w:styleId="Ttulo9Char">
    <w:name w:val="Título 9 Char"/>
    <w:basedOn w:val="Fontepargpadro"/>
    <w:rPr>
      <w:rFonts w:eastAsia="Times New Roman" w:cs="Times New Roman"/>
      <w:color w:val="272727"/>
    </w:rPr>
  </w:style>
  <w:style w:type="paragraph" w:styleId="Ttulo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tuloChar">
    <w:name w:val="Título Char"/>
    <w:basedOn w:val="Fontepargpadro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tulo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tuloChar">
    <w:name w:val="Subtítulo Char"/>
    <w:basedOn w:val="Fontepargpadro"/>
    <w:rPr>
      <w:rFonts w:eastAsia="Times New Roman" w:cs="Times New Roman"/>
      <w:color w:val="595959"/>
      <w:spacing w:val="15"/>
      <w:sz w:val="28"/>
      <w:szCs w:val="28"/>
    </w:rPr>
  </w:style>
  <w:style w:type="paragraph" w:styleId="Citao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CitaoChar">
    <w:name w:val="Citação Char"/>
    <w:basedOn w:val="Fontepargpadro"/>
    <w:rPr>
      <w:i/>
      <w:iCs/>
      <w:color w:val="404040"/>
    </w:rPr>
  </w:style>
  <w:style w:type="paragraph" w:styleId="PargrafodaLista">
    <w:name w:val="List Paragraph"/>
    <w:basedOn w:val="Normal"/>
    <w:pPr>
      <w:ind w:left="720"/>
      <w:contextualSpacing/>
    </w:pPr>
  </w:style>
  <w:style w:type="character" w:styleId="nfaseIntensa">
    <w:name w:val="Intense Emphasis"/>
    <w:basedOn w:val="Fontepargpadro"/>
    <w:rPr>
      <w:i/>
      <w:iCs/>
      <w:color w:val="0F4761"/>
    </w:rPr>
  </w:style>
  <w:style w:type="paragraph" w:styleId="CitaoIntensa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">
    <w:name w:val="Citação Intensa Char"/>
    <w:basedOn w:val="Fontepargpadro"/>
    <w:rPr>
      <w:i/>
      <w:iCs/>
      <w:color w:val="0F4761"/>
    </w:rPr>
  </w:style>
  <w:style w:type="character" w:styleId="RefernciaIntensa">
    <w:name w:val="Intense Reference"/>
    <w:basedOn w:val="Fontepargpadro"/>
    <w:rPr>
      <w:b/>
      <w:bCs/>
      <w:smallCaps/>
      <w:color w:val="0F4761"/>
      <w:spacing w:val="5"/>
    </w:rPr>
  </w:style>
  <w:style w:type="character" w:styleId="Hyperlink">
    <w:name w:val="Hyperlink"/>
    <w:rPr>
      <w:color w:val="000080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BB06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B0634"/>
  </w:style>
  <w:style w:type="paragraph" w:styleId="Rodap">
    <w:name w:val="footer"/>
    <w:basedOn w:val="Normal"/>
    <w:link w:val="RodapChar"/>
    <w:uiPriority w:val="99"/>
    <w:unhideWhenUsed/>
    <w:rsid w:val="00BB06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B0634"/>
  </w:style>
  <w:style w:type="paragraph" w:styleId="NormalWeb">
    <w:name w:val="Normal (Web)"/>
    <w:basedOn w:val="Normal"/>
    <w:link w:val="NormalWebChar"/>
    <w:uiPriority w:val="99"/>
    <w:rsid w:val="00732CCD"/>
    <w:pPr>
      <w:suppressAutoHyphens w:val="0"/>
      <w:autoSpaceDN/>
      <w:spacing w:before="100" w:beforeAutospacing="1" w:after="100" w:afterAutospacing="1" w:line="240" w:lineRule="auto"/>
    </w:pPr>
    <w:rPr>
      <w:rFonts w:ascii="Times New Roman" w:eastAsiaTheme="minorEastAsia" w:hAnsi="Times New Roman"/>
      <w:kern w:val="0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732CCD"/>
    <w:rPr>
      <w:rFonts w:ascii="Times New Roman" w:eastAsiaTheme="minorEastAsia" w:hAnsi="Times New Roman"/>
      <w:kern w:val="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C72A5B036275439CFA4524B1EA98A9" ma:contentTypeVersion="7" ma:contentTypeDescription="Crie um novo documento." ma:contentTypeScope="" ma:versionID="f1fcf354340b9880c5d338590e11387b">
  <xsd:schema xmlns:xsd="http://www.w3.org/2001/XMLSchema" xmlns:xs="http://www.w3.org/2001/XMLSchema" xmlns:p="http://schemas.microsoft.com/office/2006/metadata/properties" xmlns:ns2="e2b8fc70-36f2-4c61-8eae-a2e565614d7e" targetNamespace="http://schemas.microsoft.com/office/2006/metadata/properties" ma:root="true" ma:fieldsID="98af9715621a6ac4dbcc5c7d663cef75" ns2:_="">
    <xsd:import namespace="e2b8fc70-36f2-4c61-8eae-a2e565614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8fc70-36f2-4c61-8eae-a2e565614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96D116-0504-440A-B784-56E20734DD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1270C3-B934-4AFF-94F7-326274A7B0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E3E1D8-8142-4267-9D9A-AE842B0A0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8fc70-36f2-4c61-8eae-a2e565614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1650</Words>
  <Characters>8915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cristiano p castro</dc:creator>
  <dc:description/>
  <cp:lastModifiedBy>Eydi da Costa Cesário (SGA)</cp:lastModifiedBy>
  <cp:revision>2</cp:revision>
  <dcterms:created xsi:type="dcterms:W3CDTF">2026-08-29T00:39:00Z</dcterms:created>
  <dcterms:modified xsi:type="dcterms:W3CDTF">2026-08-29T00:39:00Z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0x01010076C72A5B036275439CFA4524B1EA98A9</vt:lpwstr>
  </property>
  <property fmtid="{D5CDD505-2E9C-101B-9397-08002B2CF9AE}" pid="3" name="docLang">
    <vt:lpwstr>pt</vt:lpwstr>
  </property>
</Properties>
</file>